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332D" w:rsidRPr="00D9332D" w:rsidRDefault="00D9332D" w:rsidP="00D9332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bookmarkStart w:id="0" w:name="_GoBack"/>
      <w:bookmarkEnd w:id="0"/>
      <w:r w:rsidRPr="00D9332D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47F8AE0C" wp14:editId="2A39E0EC">
            <wp:extent cx="5400000" cy="2043291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0432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1</w:t>
      </w:r>
      <w:r w:rsidRPr="00D9332D">
        <w:rPr>
          <w:rFonts w:ascii="Times New Roman" w:hAnsi="Times New Roman" w:cs="Times New Roman"/>
          <w:sz w:val="24"/>
          <w:szCs w:val="24"/>
          <w:lang w:val="en-US"/>
        </w:rPr>
        <w:t>. Schematic representation of the multi-layer corrosion protection scheme addressed in this study for AA2024-T3.</w:t>
      </w:r>
    </w:p>
    <w:p w:rsidR="0043383E" w:rsidRPr="00D9332D" w:rsidRDefault="0043383E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 w:rsidP="00D9332D">
      <w:pPr>
        <w:pStyle w:val="Default"/>
        <w:spacing w:line="360" w:lineRule="auto"/>
        <w:jc w:val="both"/>
        <w:rPr>
          <w:lang w:val="en-US"/>
        </w:rPr>
      </w:pPr>
      <w:r w:rsidRPr="00D9332D">
        <w:rPr>
          <w:noProof/>
          <w:lang w:eastAsia="es-ES"/>
        </w:rPr>
        <w:lastRenderedPageBreak/>
        <w:drawing>
          <wp:inline distT="0" distB="0" distL="0" distR="0" wp14:anchorId="58A8B7F6" wp14:editId="5BA64F47">
            <wp:extent cx="4680000" cy="3461057"/>
            <wp:effectExtent l="0" t="0" r="635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4" t="8935" r="1745" b="1700"/>
                    <a:stretch/>
                  </pic:blipFill>
                  <pic:spPr bwMode="auto">
                    <a:xfrm>
                      <a:off x="0" y="0"/>
                      <a:ext cx="4680000" cy="3461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pStyle w:val="Default"/>
        <w:spacing w:line="360" w:lineRule="auto"/>
        <w:jc w:val="both"/>
        <w:rPr>
          <w:i/>
          <w:lang w:val="en-US"/>
        </w:rPr>
      </w:pPr>
      <w:r w:rsidRPr="00D9332D">
        <w:rPr>
          <w:b/>
          <w:i/>
          <w:lang w:val="en-US"/>
        </w:rPr>
        <w:t>Figure 2</w:t>
      </w:r>
      <w:r w:rsidRPr="00D9332D">
        <w:rPr>
          <w:i/>
          <w:lang w:val="en-US"/>
        </w:rPr>
        <w:t>. Voltage- and current density-time responses during Flash-PEO treatment of AA2024-T3.</w:t>
      </w: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 w:rsidP="00D9332D">
      <w:pPr>
        <w:pStyle w:val="Default"/>
        <w:spacing w:line="360" w:lineRule="auto"/>
        <w:jc w:val="center"/>
        <w:rPr>
          <w:lang w:val="en-US"/>
        </w:rPr>
      </w:pPr>
      <w:r w:rsidRPr="00D9332D">
        <w:rPr>
          <w:noProof/>
          <w:lang w:eastAsia="es-ES"/>
        </w:rPr>
        <w:lastRenderedPageBreak/>
        <w:drawing>
          <wp:inline distT="0" distB="0" distL="0" distR="0" wp14:anchorId="54FE2D4F" wp14:editId="361D0A23">
            <wp:extent cx="3600000" cy="3063354"/>
            <wp:effectExtent l="0" t="0" r="635" b="381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65" t="10141" r="12017" b="3021"/>
                    <a:stretch/>
                  </pic:blipFill>
                  <pic:spPr bwMode="auto">
                    <a:xfrm>
                      <a:off x="0" y="0"/>
                      <a:ext cx="3600000" cy="3063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pStyle w:val="Default"/>
        <w:spacing w:line="360" w:lineRule="auto"/>
        <w:jc w:val="both"/>
        <w:rPr>
          <w:i/>
          <w:lang w:val="en-US"/>
        </w:rPr>
      </w:pPr>
      <w:r w:rsidRPr="00D9332D">
        <w:rPr>
          <w:b/>
          <w:i/>
          <w:lang w:val="en-US"/>
        </w:rPr>
        <w:t>Figure 3</w:t>
      </w:r>
      <w:r w:rsidRPr="00D9332D">
        <w:rPr>
          <w:i/>
          <w:lang w:val="en-US"/>
        </w:rPr>
        <w:t>. XRD pattern of the studied PEO coating upon application on AA2024-T3.</w:t>
      </w: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 w:rsidP="00D9332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D9332D">
        <w:rPr>
          <w:rFonts w:ascii="Times New Roman" w:hAnsi="Times New Roman" w:cs="Times New Roman"/>
          <w:iCs/>
          <w:noProof/>
          <w:sz w:val="24"/>
          <w:szCs w:val="24"/>
          <w:lang w:eastAsia="es-ES"/>
        </w:rPr>
        <w:lastRenderedPageBreak/>
        <w:drawing>
          <wp:inline distT="0" distB="0" distL="0" distR="0" wp14:anchorId="5B78629F" wp14:editId="346C4D39">
            <wp:extent cx="5400000" cy="5742192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5742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pStyle w:val="Textoindependiente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4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. Plan view secondary electron images of the PEO (a, b), HSG (c, d), and HSG-Ce (e, f) coatings. </w:t>
      </w:r>
      <w:proofErr w:type="gramStart"/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>EDS</w:t>
      </w:r>
      <w:proofErr w:type="gramEnd"/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 analysis results of the yellow boxed areas are presented in </w:t>
      </w: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Table 2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>.</w:t>
      </w: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>
      <w:pPr>
        <w:rPr>
          <w:lang w:val="en-US"/>
        </w:rPr>
      </w:pPr>
    </w:p>
    <w:p w:rsidR="00D9332D" w:rsidRPr="00D9332D" w:rsidRDefault="00D9332D" w:rsidP="00D9332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70FBD6E7" wp14:editId="08705096">
            <wp:extent cx="5400000" cy="575765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5757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5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. Cross-section secondary electron images of the PEO (a, b), HSG (c, d), and HSG-Ce (e, f) coatings. </w:t>
      </w:r>
      <w:proofErr w:type="gramStart"/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>EDS</w:t>
      </w:r>
      <w:proofErr w:type="gramEnd"/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 analysis results of the yellow boxed areas are presented in </w:t>
      </w: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Table 3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>.</w:t>
      </w:r>
    </w:p>
    <w:p w:rsidR="00D9332D" w:rsidRPr="00D9332D" w:rsidRDefault="00D9332D" w:rsidP="00D9332D">
      <w:pPr>
        <w:rPr>
          <w:rFonts w:ascii="Times New Roman" w:hAnsi="Times New Roman" w:cs="Times New Roman"/>
          <w:i/>
          <w:sz w:val="24"/>
          <w:szCs w:val="24"/>
          <w:lang w:val="en-US"/>
        </w:rPr>
      </w:pPr>
    </w:p>
    <w:p w:rsidR="00D9332D" w:rsidRPr="00D9332D" w:rsidRDefault="00D9332D" w:rsidP="00D9332D">
      <w:pPr>
        <w:rPr>
          <w:rFonts w:ascii="Times New Roman" w:hAnsi="Times New Roman" w:cs="Times New Roman"/>
          <w:i/>
          <w:sz w:val="24"/>
          <w:szCs w:val="24"/>
          <w:lang w:val="en-US"/>
        </w:rPr>
      </w:pPr>
    </w:p>
    <w:p w:rsidR="00D9332D" w:rsidRPr="00D9332D" w:rsidRDefault="00D9332D" w:rsidP="00D9332D">
      <w:pPr>
        <w:rPr>
          <w:rFonts w:ascii="Times New Roman" w:hAnsi="Times New Roman" w:cs="Times New Roman"/>
          <w:i/>
          <w:sz w:val="24"/>
          <w:szCs w:val="24"/>
          <w:lang w:val="en-US"/>
        </w:rPr>
      </w:pPr>
    </w:p>
    <w:p w:rsidR="00D9332D" w:rsidRPr="00D9332D" w:rsidRDefault="00D9332D" w:rsidP="00D9332D">
      <w:pPr>
        <w:rPr>
          <w:rFonts w:ascii="Times New Roman" w:hAnsi="Times New Roman" w:cs="Times New Roman"/>
          <w:i/>
          <w:sz w:val="24"/>
          <w:szCs w:val="24"/>
          <w:lang w:val="en-US"/>
        </w:rPr>
      </w:pPr>
    </w:p>
    <w:p w:rsidR="00D9332D" w:rsidRPr="00D9332D" w:rsidRDefault="00D9332D" w:rsidP="00D9332D">
      <w:pPr>
        <w:rPr>
          <w:rFonts w:ascii="Times New Roman" w:hAnsi="Times New Roman" w:cs="Times New Roman"/>
          <w:i/>
          <w:sz w:val="24"/>
          <w:szCs w:val="24"/>
          <w:lang w:val="en-US"/>
        </w:rPr>
      </w:pPr>
    </w:p>
    <w:p w:rsidR="00D9332D" w:rsidRPr="00D9332D" w:rsidRDefault="00D9332D" w:rsidP="00D9332D">
      <w:pPr>
        <w:rPr>
          <w:rFonts w:ascii="Times New Roman" w:hAnsi="Times New Roman" w:cs="Times New Roman"/>
          <w:i/>
          <w:sz w:val="24"/>
          <w:szCs w:val="24"/>
          <w:lang w:val="en-US"/>
        </w:rPr>
      </w:pPr>
    </w:p>
    <w:p w:rsidR="00D9332D" w:rsidRPr="00D9332D" w:rsidRDefault="00D9332D" w:rsidP="00D9332D">
      <w:pPr>
        <w:rPr>
          <w:rFonts w:ascii="Times New Roman" w:hAnsi="Times New Roman" w:cs="Times New Roman"/>
          <w:i/>
          <w:sz w:val="24"/>
          <w:szCs w:val="24"/>
          <w:lang w:val="en-US"/>
        </w:rPr>
      </w:pPr>
    </w:p>
    <w:p w:rsidR="00D9332D" w:rsidRPr="00D9332D" w:rsidRDefault="00D9332D" w:rsidP="00D9332D">
      <w:pPr>
        <w:rPr>
          <w:rFonts w:ascii="Times New Roman" w:hAnsi="Times New Roman" w:cs="Times New Roman"/>
          <w:i/>
          <w:sz w:val="24"/>
          <w:szCs w:val="24"/>
          <w:lang w:val="en-US"/>
        </w:rPr>
      </w:pPr>
    </w:p>
    <w:p w:rsidR="00D9332D" w:rsidRPr="00D9332D" w:rsidRDefault="00D9332D" w:rsidP="00D9332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332D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1D27FCD9" wp14:editId="221BCD00">
            <wp:extent cx="4320000" cy="3757907"/>
            <wp:effectExtent l="0" t="0" r="444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757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pStyle w:val="Textoindependiente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6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>. FTIR spectra of PEO, HSG, and HSG-Ce coatings.</w:t>
      </w: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7135FAD9" wp14:editId="3EE54B92">
            <wp:extent cx="5400000" cy="5789683"/>
            <wp:effectExtent l="0" t="0" r="0" b="190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57896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pStyle w:val="Textoindependiente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7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>. (a) Optical 3D-topographical maps and (b) WCA images of the PEO, HSG, and HSG-Ce coatings.</w:t>
      </w: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332D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6F079652" wp14:editId="111EBD21">
            <wp:extent cx="5400000" cy="4152648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1526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332D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634A5FD8" wp14:editId="374BDEE6">
            <wp:extent cx="5400000" cy="4221467"/>
            <wp:effectExtent l="0" t="0" r="0" b="8255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2214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332D" w:rsidRPr="00D9332D" w:rsidRDefault="00D9332D" w:rsidP="00D9332D">
      <w:pPr>
        <w:pStyle w:val="Textoindependiente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lastRenderedPageBreak/>
        <w:t>Figure 8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. Impedance- and Phase angle-frequency plots of all studied coatings after (a, b) 1 h and (c, d) 21 days of immersion in 3.5 wt. % NaCl (aq.) solution. </w:t>
      </w:r>
      <w:r w:rsidRPr="00D9332D">
        <w:rPr>
          <w:rFonts w:ascii="Times New Roman" w:hAnsi="Times New Roman" w:cs="Times New Roman"/>
          <w:i/>
          <w:sz w:val="24"/>
          <w:szCs w:val="24"/>
          <w:lang w:val="en-GB"/>
        </w:rPr>
        <w:t xml:space="preserve">Plotted data by </w:t>
      </w:r>
      <w:proofErr w:type="spellStart"/>
      <w:r w:rsidRPr="00D9332D">
        <w:rPr>
          <w:rFonts w:ascii="Times New Roman" w:hAnsi="Times New Roman" w:cs="Times New Roman"/>
          <w:i/>
          <w:sz w:val="24"/>
          <w:szCs w:val="24"/>
          <w:lang w:val="en-GB"/>
        </w:rPr>
        <w:t>Zview</w:t>
      </w:r>
      <w:proofErr w:type="spellEnd"/>
      <w:r w:rsidRPr="00D9332D">
        <w:rPr>
          <w:rFonts w:ascii="Times New Roman" w:hAnsi="Times New Roman" w:cs="Times New Roman"/>
          <w:i/>
          <w:sz w:val="24"/>
          <w:szCs w:val="24"/>
          <w:lang w:val="en-GB"/>
        </w:rPr>
        <w:t xml:space="preserve"> software correspond to the most representative specimen of two replicas.</w:t>
      </w: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spacing w:after="0" w:line="360" w:lineRule="auto"/>
        <w:jc w:val="both"/>
        <w:rPr>
          <w:rFonts w:ascii="Times New Roman" w:eastAsia="Times New Roman" w:hAnsi="Times New Roman" w:cs="Times New Roman"/>
          <w:color w:val="0E101A"/>
          <w:sz w:val="24"/>
          <w:szCs w:val="24"/>
          <w:lang w:val="en-US" w:eastAsia="es-ES"/>
        </w:rPr>
      </w:pPr>
      <w:r w:rsidRPr="00D9332D">
        <w:rPr>
          <w:rFonts w:ascii="Times New Roman" w:eastAsia="Times New Roman" w:hAnsi="Times New Roman" w:cs="Times New Roman"/>
          <w:noProof/>
          <w:color w:val="0E101A"/>
          <w:sz w:val="24"/>
          <w:szCs w:val="24"/>
          <w:lang w:eastAsia="es-ES"/>
        </w:rPr>
        <w:lastRenderedPageBreak/>
        <w:drawing>
          <wp:inline distT="0" distB="0" distL="0" distR="0" wp14:anchorId="72BB9DD9" wp14:editId="22A372B0">
            <wp:extent cx="5400000" cy="5052572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50525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pStyle w:val="Textoindependiente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9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. Equivalent circuits to fit the experimental EIS data for (a, b) PEO, and c) HSG and HSG-Ce coatings after 1 h and 21 d of immersion in 0.1 </w:t>
      </w:r>
      <w:proofErr w:type="spellStart"/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>mol</w:t>
      </w:r>
      <w:proofErr w:type="spellEnd"/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 L</w:t>
      </w:r>
      <w:r w:rsidRPr="00D9332D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-1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 NaCl solution.</w:t>
      </w: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9332D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44FA4D20" wp14:editId="516D9745">
            <wp:extent cx="5400000" cy="3718477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718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pStyle w:val="Textoindependiente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10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. Top-view scanning electron micrographs of (a) PEO, (b) HSG, and (c) HSG-Ce coatings after 21 days of immersion in 3.5 wt.% NaCl aqueous solution. </w:t>
      </w:r>
      <w:proofErr w:type="gramStart"/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>EDS</w:t>
      </w:r>
      <w:proofErr w:type="gramEnd"/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 xml:space="preserve"> analysis results of the yellow boxed areas are presented in </w:t>
      </w:r>
      <w:r w:rsidRPr="00D9332D">
        <w:rPr>
          <w:rFonts w:ascii="Times New Roman" w:hAnsi="Times New Roman" w:cs="Times New Roman"/>
          <w:b/>
          <w:i/>
          <w:sz w:val="24"/>
          <w:szCs w:val="24"/>
          <w:lang w:val="en-US"/>
        </w:rPr>
        <w:t>Table 6</w:t>
      </w:r>
      <w:r w:rsidRPr="00D9332D">
        <w:rPr>
          <w:rFonts w:ascii="Times New Roman" w:hAnsi="Times New Roman" w:cs="Times New Roman"/>
          <w:i/>
          <w:sz w:val="24"/>
          <w:szCs w:val="24"/>
          <w:lang w:val="en-US"/>
        </w:rPr>
        <w:t>.</w:t>
      </w: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pStyle w:val="Default"/>
        <w:spacing w:line="360" w:lineRule="auto"/>
        <w:jc w:val="both"/>
        <w:rPr>
          <w:noProof/>
          <w:lang w:eastAsia="es-ES"/>
        </w:rPr>
      </w:pPr>
      <w:r w:rsidRPr="00D9332D">
        <w:rPr>
          <w:noProof/>
          <w:lang w:eastAsia="es-ES"/>
        </w:rPr>
        <w:lastRenderedPageBreak/>
        <w:drawing>
          <wp:inline distT="0" distB="0" distL="0" distR="0" wp14:anchorId="0A59B89A" wp14:editId="2F0B9BAD">
            <wp:extent cx="5400000" cy="4292886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292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pStyle w:val="Default"/>
        <w:spacing w:line="360" w:lineRule="auto"/>
        <w:jc w:val="both"/>
        <w:rPr>
          <w:noProof/>
          <w:lang w:eastAsia="es-ES"/>
        </w:rPr>
      </w:pPr>
      <w:r w:rsidRPr="00D9332D">
        <w:rPr>
          <w:noProof/>
          <w:lang w:eastAsia="es-ES"/>
        </w:rPr>
        <w:drawing>
          <wp:inline distT="0" distB="0" distL="0" distR="0" wp14:anchorId="6B600A5F" wp14:editId="5E7AC623">
            <wp:extent cx="5400000" cy="4400663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400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D9332D" w:rsidRDefault="00D9332D" w:rsidP="00D9332D">
      <w:pPr>
        <w:pStyle w:val="Default"/>
        <w:spacing w:line="360" w:lineRule="auto"/>
        <w:jc w:val="both"/>
        <w:rPr>
          <w:noProof/>
          <w:lang w:eastAsia="es-ES"/>
        </w:rPr>
      </w:pPr>
      <w:r w:rsidRPr="00D9332D">
        <w:rPr>
          <w:noProof/>
          <w:lang w:eastAsia="es-ES"/>
        </w:rPr>
        <w:lastRenderedPageBreak/>
        <w:drawing>
          <wp:inline distT="0" distB="0" distL="0" distR="0" wp14:anchorId="27100EA6" wp14:editId="2E0EB94B">
            <wp:extent cx="5400000" cy="4394050"/>
            <wp:effectExtent l="0" t="0" r="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39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32D" w:rsidRPr="00B35997" w:rsidRDefault="00D9332D" w:rsidP="00D9332D">
      <w:pPr>
        <w:pStyle w:val="Default"/>
        <w:spacing w:line="360" w:lineRule="auto"/>
        <w:jc w:val="both"/>
        <w:rPr>
          <w:i/>
          <w:noProof/>
          <w:lang w:val="en-US" w:eastAsia="es-ES"/>
        </w:rPr>
      </w:pPr>
      <w:r w:rsidRPr="00D9332D">
        <w:rPr>
          <w:b/>
          <w:i/>
          <w:noProof/>
          <w:lang w:val="en-US" w:eastAsia="es-ES"/>
        </w:rPr>
        <w:t>Figure 11</w:t>
      </w:r>
      <w:r w:rsidRPr="00D9332D">
        <w:rPr>
          <w:i/>
          <w:noProof/>
          <w:lang w:val="en-US" w:eastAsia="es-ES"/>
        </w:rPr>
        <w:t xml:space="preserve">. Scanning electron micrographs corresponding to the scribed plan views of studied coatings after 11 and 21 days immersion in 3.5 wt.% NaCl solution. EDS analysis results of the yellow boxed areas are presented in </w:t>
      </w:r>
      <w:r w:rsidRPr="00D9332D">
        <w:rPr>
          <w:b/>
          <w:i/>
          <w:noProof/>
          <w:lang w:val="en-US" w:eastAsia="es-ES"/>
        </w:rPr>
        <w:t>Table 7</w:t>
      </w:r>
      <w:r w:rsidRPr="00D9332D">
        <w:rPr>
          <w:i/>
          <w:noProof/>
          <w:lang w:val="en-US" w:eastAsia="es-ES"/>
        </w:rPr>
        <w:t>.</w:t>
      </w: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Default="00D9332D" w:rsidP="00D9332D">
      <w:pPr>
        <w:rPr>
          <w:lang w:val="en-US"/>
        </w:rPr>
      </w:pPr>
    </w:p>
    <w:p w:rsidR="00D9332D" w:rsidRPr="00D9332D" w:rsidRDefault="00D9332D" w:rsidP="00D9332D">
      <w:pPr>
        <w:rPr>
          <w:lang w:val="en-US"/>
        </w:rPr>
      </w:pPr>
    </w:p>
    <w:sectPr w:rsidR="00D9332D" w:rsidRPr="00D9332D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332D"/>
    <w:rsid w:val="0043383E"/>
    <w:rsid w:val="00D93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3CFEA798-3FAB-4CFF-9672-B43C0994C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9332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rsid w:val="00D9332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independiente">
    <w:name w:val="Body Text"/>
    <w:basedOn w:val="Normal"/>
    <w:link w:val="TextoindependienteCar"/>
    <w:uiPriority w:val="99"/>
    <w:unhideWhenUsed/>
    <w:rsid w:val="00D9332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D933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293</Words>
  <Characters>1616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Ruben del Olmo Martinez</dc:creator>
  <cp:keywords/>
  <dc:description/>
  <cp:lastModifiedBy>Ruben del Olmo Martinez</cp:lastModifiedBy>
  <cp:revision>1</cp:revision>
  <dcterms:created xsi:type="dcterms:W3CDTF">2025-03-03T14:35:00Z</dcterms:created>
  <dcterms:modified xsi:type="dcterms:W3CDTF">2025-03-03T14:40:00Z</dcterms:modified>
</cp:coreProperties>
</file>